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The Republic of the Union of Myanmar</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Office of the President</w:t>
      </w:r>
    </w:p>
    <w:p w:rsidR="00000000" w:rsidDel="00000000" w:rsidP="00000000" w:rsidRDefault="00000000" w:rsidRPr="00000000" w14:paraId="00000003">
      <w:pPr>
        <w:jc w:val="center"/>
        <w:rPr>
          <w:sz w:val="24"/>
          <w:szCs w:val="24"/>
        </w:rPr>
      </w:pPr>
      <w:r w:rsidDel="00000000" w:rsidR="00000000" w:rsidRPr="00000000">
        <w:rPr>
          <w:b w:val="1"/>
          <w:i w:val="1"/>
          <w:color w:val="ff0000"/>
          <w:rtl w:val="0"/>
        </w:rPr>
        <w:t xml:space="preserve">Unofficial Translation</w:t>
      </w:r>
      <w:r w:rsidDel="00000000" w:rsidR="00000000" w:rsidRPr="00000000">
        <w:rPr>
          <w:rtl w:val="0"/>
        </w:rPr>
      </w:r>
    </w:p>
    <w:p w:rsidR="00000000" w:rsidDel="00000000" w:rsidP="00000000" w:rsidRDefault="00000000" w:rsidRPr="00000000" w14:paraId="00000004">
      <w:pPr>
        <w:jc w:val="right"/>
        <w:rPr>
          <w:sz w:val="24"/>
          <w:szCs w:val="24"/>
        </w:rPr>
      </w:pPr>
      <w:r w:rsidDel="00000000" w:rsidR="00000000" w:rsidRPr="00000000">
        <w:rPr>
          <w:sz w:val="24"/>
          <w:szCs w:val="24"/>
          <w:rtl w:val="0"/>
        </w:rPr>
        <w:t xml:space="preserve">Letter No: 158 (1)/8/President office</w:t>
      </w:r>
    </w:p>
    <w:p w:rsidR="00000000" w:rsidDel="00000000" w:rsidP="00000000" w:rsidRDefault="00000000" w:rsidRPr="00000000" w14:paraId="00000005">
      <w:pPr>
        <w:jc w:val="right"/>
        <w:rPr>
          <w:sz w:val="24"/>
          <w:szCs w:val="24"/>
        </w:rPr>
      </w:pPr>
      <w:r w:rsidDel="00000000" w:rsidR="00000000" w:rsidRPr="00000000">
        <w:rPr>
          <w:sz w:val="24"/>
          <w:szCs w:val="24"/>
          <w:rtl w:val="0"/>
        </w:rPr>
        <w:t xml:space="preserve">Date: 4</w:t>
      </w:r>
      <w:r w:rsidDel="00000000" w:rsidR="00000000" w:rsidRPr="00000000">
        <w:rPr>
          <w:sz w:val="24"/>
          <w:szCs w:val="24"/>
          <w:vertAlign w:val="superscript"/>
          <w:rtl w:val="0"/>
        </w:rPr>
        <w:t xml:space="preserve">th</w:t>
      </w:r>
      <w:r w:rsidDel="00000000" w:rsidR="00000000" w:rsidRPr="00000000">
        <w:rPr>
          <w:sz w:val="24"/>
          <w:szCs w:val="24"/>
          <w:rtl w:val="0"/>
        </w:rPr>
        <w:t xml:space="preserve"> April 2020</w:t>
      </w:r>
    </w:p>
    <w:p w:rsidR="00000000" w:rsidDel="00000000" w:rsidP="00000000" w:rsidRDefault="00000000" w:rsidRPr="00000000" w14:paraId="00000006">
      <w:pPr>
        <w:rPr>
          <w:sz w:val="24"/>
          <w:szCs w:val="24"/>
        </w:rPr>
      </w:pPr>
      <w:r w:rsidDel="00000000" w:rsidR="00000000" w:rsidRPr="00000000">
        <w:rPr>
          <w:sz w:val="24"/>
          <w:szCs w:val="24"/>
          <w:rtl w:val="0"/>
        </w:rPr>
        <w:t xml:space="preserve">To</w:t>
      </w:r>
    </w:p>
    <w:p w:rsidR="00000000" w:rsidDel="00000000" w:rsidP="00000000" w:rsidRDefault="00000000" w:rsidRPr="00000000" w14:paraId="00000007">
      <w:pPr>
        <w:rPr>
          <w:sz w:val="24"/>
          <w:szCs w:val="24"/>
        </w:rPr>
      </w:pPr>
      <w:r w:rsidDel="00000000" w:rsidR="00000000" w:rsidRPr="00000000">
        <w:rPr>
          <w:sz w:val="24"/>
          <w:szCs w:val="24"/>
          <w:rtl w:val="0"/>
        </w:rPr>
        <w:t xml:space="preserve">All Union level organizations</w:t>
      </w:r>
    </w:p>
    <w:p w:rsidR="00000000" w:rsidDel="00000000" w:rsidP="00000000" w:rsidRDefault="00000000" w:rsidRPr="00000000" w14:paraId="00000008">
      <w:pPr>
        <w:rPr>
          <w:sz w:val="24"/>
          <w:szCs w:val="24"/>
        </w:rPr>
      </w:pPr>
      <w:r w:rsidDel="00000000" w:rsidR="00000000" w:rsidRPr="00000000">
        <w:rPr>
          <w:sz w:val="24"/>
          <w:szCs w:val="24"/>
          <w:rtl w:val="0"/>
        </w:rPr>
        <w:t xml:space="preserve">All Ministries</w:t>
      </w:r>
    </w:p>
    <w:p w:rsidR="00000000" w:rsidDel="00000000" w:rsidP="00000000" w:rsidRDefault="00000000" w:rsidRPr="00000000" w14:paraId="00000009">
      <w:pPr>
        <w:rPr>
          <w:sz w:val="24"/>
          <w:szCs w:val="24"/>
        </w:rPr>
      </w:pPr>
      <w:r w:rsidDel="00000000" w:rsidR="00000000" w:rsidRPr="00000000">
        <w:rPr>
          <w:sz w:val="24"/>
          <w:szCs w:val="24"/>
          <w:rtl w:val="0"/>
        </w:rPr>
        <w:t xml:space="preserve">Nay Pyi Taw council</w:t>
      </w:r>
    </w:p>
    <w:p w:rsidR="00000000" w:rsidDel="00000000" w:rsidP="00000000" w:rsidRDefault="00000000" w:rsidRPr="00000000" w14:paraId="0000000A">
      <w:pPr>
        <w:rPr>
          <w:sz w:val="24"/>
          <w:szCs w:val="24"/>
        </w:rPr>
      </w:pPr>
      <w:r w:rsidDel="00000000" w:rsidR="00000000" w:rsidRPr="00000000">
        <w:rPr>
          <w:sz w:val="24"/>
          <w:szCs w:val="24"/>
          <w:rtl w:val="0"/>
        </w:rPr>
        <w:t xml:space="preserve">All State and Regional Governments </w:t>
      </w:r>
    </w:p>
    <w:p w:rsidR="00000000" w:rsidDel="00000000" w:rsidP="00000000" w:rsidRDefault="00000000" w:rsidRPr="00000000" w14:paraId="0000000B">
      <w:pPr>
        <w:rPr>
          <w:sz w:val="24"/>
          <w:szCs w:val="24"/>
        </w:rPr>
      </w:pPr>
      <w:r w:rsidDel="00000000" w:rsidR="00000000" w:rsidRPr="00000000">
        <w:rPr>
          <w:sz w:val="24"/>
          <w:szCs w:val="24"/>
          <w:rtl w:val="0"/>
        </w:rPr>
        <w:t xml:space="preserve">Subject: Regarding Thingyan Holidays during COVID-19 outbreaks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situation of the government office works to be dysfunctional or stopped is inevitable if the outbreak happens among the government staff when they were infected with COVID-19 on the way or during their stay in their native towns or from the contact with public, family members, relatives/friends who are infected with COVID-19 during the Thingyan Holidays.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Thus, within Thingyan holidays, Union level organizations, Union Ministries, all staff at states and Regions are not allowed to travel except for funeral matter, and when the times has come with COVID-19 elimination, the compensation of Thingyan holidays will be provided by arranging half of the staff at office and half on leave.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Khin Latt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Permanent secretary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Cc:</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President Office (All Offices/Departments)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Union Government Office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Office copy</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D470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lxc4oG6Fy4NX3SIr/DJYf0mPVg==">AMUW2mUH6zFdmWSPsaR656FToswRTlGZ+DzwsV03agQMw0W7ulgiiChfuNYmMqdetHVnQ2Jt9c33oMmiTu9m+H7rcC+YcvcooUe1SAtbih1PxRLx5hQEX9ov4sc6CtBJr/hpmjoJJ7YQ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2020-04-06T07:33:00Z</dcterms:created>
  <dc:creator>Han Tun Khaing</dc:creator>
</cp:coreProperties>
</file>